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B91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71315EB6" w14:textId="77777777" w:rsidR="004544B1" w:rsidRPr="00C23E72" w:rsidRDefault="00000000">
      <w:pPr>
        <w:pStyle w:val="BodyText"/>
        <w:jc w:val="both"/>
        <w:rPr>
          <w:b/>
          <w:bCs/>
          <w:sz w:val="20"/>
          <w:szCs w:val="36"/>
        </w:rPr>
      </w:pPr>
      <w:r w:rsidRPr="00C23E72">
        <w:rPr>
          <w:b/>
          <w:bCs/>
          <w:sz w:val="20"/>
          <w:szCs w:val="36"/>
        </w:rPr>
        <w:t>Policy</w:t>
      </w:r>
    </w:p>
    <w:p w14:paraId="65AF29E6" w14:textId="45C4838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Staff should aim to include community participation in their work. Marvellous Security Services Limited will support staff</w:t>
      </w:r>
      <w:r w:rsidR="00C23E72">
        <w:rPr>
          <w:sz w:val="20"/>
          <w:szCs w:val="36"/>
        </w:rPr>
        <w:t xml:space="preserve"> </w:t>
      </w:r>
      <w:r>
        <w:rPr>
          <w:sz w:val="20"/>
          <w:szCs w:val="36"/>
        </w:rPr>
        <w:t xml:space="preserve">members to do so. Staff should be </w:t>
      </w:r>
      <w:proofErr w:type="gramStart"/>
      <w:r>
        <w:rPr>
          <w:sz w:val="20"/>
          <w:szCs w:val="36"/>
        </w:rPr>
        <w:t>guided by these general principles at all times</w:t>
      </w:r>
      <w:proofErr w:type="gramEnd"/>
      <w:r>
        <w:rPr>
          <w:sz w:val="20"/>
          <w:szCs w:val="36"/>
        </w:rPr>
        <w:t>:</w:t>
      </w:r>
    </w:p>
    <w:p w14:paraId="0BE746A8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1. Community are valuable partners that possess knowledge, </w:t>
      </w:r>
      <w:proofErr w:type="gramStart"/>
      <w:r>
        <w:rPr>
          <w:sz w:val="20"/>
          <w:szCs w:val="36"/>
        </w:rPr>
        <w:t>expertise</w:t>
      </w:r>
      <w:proofErr w:type="gramEnd"/>
      <w:r>
        <w:rPr>
          <w:sz w:val="20"/>
          <w:szCs w:val="36"/>
        </w:rPr>
        <w:t xml:space="preserve"> and experience. Staff should </w:t>
      </w:r>
      <w:proofErr w:type="gramStart"/>
      <w:r>
        <w:rPr>
          <w:sz w:val="20"/>
          <w:szCs w:val="36"/>
        </w:rPr>
        <w:t>recognise</w:t>
      </w:r>
      <w:proofErr w:type="gramEnd"/>
    </w:p>
    <w:p w14:paraId="428E564D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>and build on community members’ strengths.</w:t>
      </w:r>
    </w:p>
    <w:p w14:paraId="69919572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2. Community participation should be strategic and have a purpose. This purpose should be </w:t>
      </w:r>
      <w:proofErr w:type="gramStart"/>
      <w:r>
        <w:rPr>
          <w:sz w:val="20"/>
          <w:szCs w:val="36"/>
        </w:rPr>
        <w:t>clearly</w:t>
      </w:r>
      <w:proofErr w:type="gramEnd"/>
    </w:p>
    <w:p w14:paraId="111F2F94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>communicated to participants. The organisation discourages tokenistic participation, or ‘participation for</w:t>
      </w:r>
    </w:p>
    <w:p w14:paraId="7470E939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>participation’s sake’.</w:t>
      </w:r>
    </w:p>
    <w:p w14:paraId="2AB03335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>3. Participation should benefit community members and/or their community. No community member should</w:t>
      </w:r>
    </w:p>
    <w:p w14:paraId="44A949B3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be placed at risk, </w:t>
      </w:r>
      <w:proofErr w:type="gramStart"/>
      <w:r>
        <w:rPr>
          <w:sz w:val="20"/>
          <w:szCs w:val="36"/>
        </w:rPr>
        <w:t>marginalised</w:t>
      </w:r>
      <w:proofErr w:type="gramEnd"/>
      <w:r>
        <w:rPr>
          <w:sz w:val="20"/>
          <w:szCs w:val="36"/>
        </w:rPr>
        <w:t xml:space="preserve"> or disadvantaged for having partnered with the organisation.</w:t>
      </w:r>
    </w:p>
    <w:p w14:paraId="2D7D42E0" w14:textId="77777777" w:rsidR="004544B1" w:rsidRDefault="00000000">
      <w:pPr>
        <w:pStyle w:val="BodyText"/>
        <w:ind w:left="720"/>
        <w:jc w:val="both"/>
        <w:rPr>
          <w:sz w:val="20"/>
          <w:szCs w:val="36"/>
        </w:rPr>
      </w:pPr>
      <w:r>
        <w:rPr>
          <w:sz w:val="20"/>
          <w:szCs w:val="36"/>
        </w:rPr>
        <w:t>4. Participation should be inclusive and seek to reflect the diversity of our communities.</w:t>
      </w:r>
    </w:p>
    <w:p w14:paraId="397B65F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Community participation can take many forms and falls along a spectrum where community have </w:t>
      </w:r>
      <w:proofErr w:type="gramStart"/>
      <w:r>
        <w:rPr>
          <w:sz w:val="20"/>
          <w:szCs w:val="36"/>
        </w:rPr>
        <w:t>increasing</w:t>
      </w:r>
      <w:proofErr w:type="gramEnd"/>
    </w:p>
    <w:p w14:paraId="4E037F5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impact on decision making. It is important to include multiple types and levels of community participation,</w:t>
      </w:r>
    </w:p>
    <w:p w14:paraId="7739C2F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however, staff should try to work at the high impact end of the spectrum where possible.</w:t>
      </w:r>
    </w:p>
    <w:p w14:paraId="7DF94FB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Inform Consult Involve Collaborate Empower</w:t>
      </w:r>
    </w:p>
    <w:p w14:paraId="60737B7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Low impact High impact</w:t>
      </w:r>
    </w:p>
    <w:p w14:paraId="495369CE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200ECFD1" w14:textId="77777777" w:rsidR="004544B1" w:rsidRDefault="004544B1">
      <w:pPr>
        <w:jc w:val="both"/>
        <w:rPr>
          <w:rFonts w:ascii="Times New Roman" w:hAnsi="Times New Roman"/>
          <w:sz w:val="20"/>
          <w:szCs w:val="22"/>
        </w:rPr>
      </w:pPr>
    </w:p>
    <w:p w14:paraId="73473F71" w14:textId="77777777" w:rsidR="004544B1" w:rsidRDefault="0000000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Managing Director shall review this policy annually or following significant changes.</w:t>
      </w:r>
    </w:p>
    <w:p w14:paraId="0F59CCF0" w14:textId="77777777" w:rsidR="004544B1" w:rsidRDefault="004544B1">
      <w:pPr>
        <w:jc w:val="both"/>
        <w:rPr>
          <w:rFonts w:ascii="Calibri" w:hAnsi="Calibri"/>
          <w:sz w:val="20"/>
        </w:rPr>
      </w:pPr>
    </w:p>
    <w:p w14:paraId="0317C279" w14:textId="77777777" w:rsidR="004544B1" w:rsidRDefault="00000000">
      <w:pPr>
        <w:pStyle w:val="Style2a"/>
        <w:tabs>
          <w:tab w:val="clear" w:pos="2880"/>
          <w:tab w:val="left" w:pos="720"/>
        </w:tabs>
        <w:rPr>
          <w:rFonts w:ascii="Brush Script MT" w:hAnsi="Brush Script MT" w:cs="Calibri"/>
          <w:sz w:val="20"/>
        </w:rPr>
      </w:pPr>
      <w:proofErr w:type="spellStart"/>
      <w:r>
        <w:rPr>
          <w:rFonts w:ascii="Brush Script MT" w:hAnsi="Brush Script MT" w:cs="Calibri"/>
          <w:b/>
          <w:sz w:val="20"/>
        </w:rPr>
        <w:t>Mr</w:t>
      </w:r>
      <w:proofErr w:type="spellEnd"/>
      <w:r>
        <w:rPr>
          <w:rFonts w:ascii="Brush Script MT" w:hAnsi="Brush Script MT" w:cs="Calibri"/>
          <w:b/>
          <w:sz w:val="20"/>
        </w:rPr>
        <w:t xml:space="preserve"> Abdul Wahaab</w:t>
      </w:r>
    </w:p>
    <w:p w14:paraId="418C40AC" w14:textId="77777777" w:rsidR="004544B1" w:rsidRDefault="00000000">
      <w:pPr>
        <w:rPr>
          <w:rFonts w:cs="Calibri"/>
          <w:sz w:val="20"/>
          <w:lang w:eastAsia="en-GB"/>
        </w:rPr>
      </w:pPr>
      <w:r>
        <w:rPr>
          <w:rFonts w:cs="Calibri"/>
          <w:sz w:val="20"/>
          <w:lang w:eastAsia="en-GB"/>
        </w:rPr>
        <w:t>Marvellous Security Services Limited</w:t>
      </w:r>
    </w:p>
    <w:p w14:paraId="3C99E07A" w14:textId="75A85762" w:rsidR="004544B1" w:rsidRDefault="00000000">
      <w:pPr>
        <w:rPr>
          <w:szCs w:val="24"/>
          <w:lang w:eastAsia="en-GB"/>
        </w:rPr>
      </w:pPr>
      <w:r>
        <w:rPr>
          <w:szCs w:val="24"/>
          <w:lang w:eastAsia="en-GB"/>
        </w:rPr>
        <w:t xml:space="preserve">This policy is reviewed on </w:t>
      </w:r>
      <w:proofErr w:type="gramStart"/>
      <w:r>
        <w:rPr>
          <w:szCs w:val="24"/>
          <w:lang w:eastAsia="en-GB"/>
        </w:rPr>
        <w:t>15-</w:t>
      </w:r>
      <w:r w:rsidR="00C23E72">
        <w:rPr>
          <w:szCs w:val="24"/>
          <w:lang w:eastAsia="en-GB"/>
        </w:rPr>
        <w:t>05</w:t>
      </w:r>
      <w:r>
        <w:rPr>
          <w:szCs w:val="24"/>
          <w:lang w:eastAsia="en-GB"/>
        </w:rPr>
        <w:t>-202</w:t>
      </w:r>
      <w:r w:rsidR="00C23E72">
        <w:rPr>
          <w:szCs w:val="24"/>
          <w:lang w:eastAsia="en-GB"/>
        </w:rPr>
        <w:t>3</w:t>
      </w:r>
      <w:proofErr w:type="gramEnd"/>
    </w:p>
    <w:p w14:paraId="76457891" w14:textId="77777777" w:rsidR="004544B1" w:rsidRDefault="004544B1">
      <w:pPr>
        <w:jc w:val="both"/>
        <w:rPr>
          <w:rFonts w:ascii="Times New Roman" w:hAnsi="Times New Roman"/>
          <w:sz w:val="20"/>
        </w:rPr>
      </w:pPr>
    </w:p>
    <w:p w14:paraId="622F411E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49E21236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00E17431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643335B8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1BA0BD59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008CB4AF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30FC5DA4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5CA11BAB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2BAF5237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7FF1D71A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7BD5F974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5ACFBE7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Procedures</w:t>
      </w:r>
    </w:p>
    <w:p w14:paraId="6ECAC7A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 Planning</w:t>
      </w:r>
    </w:p>
    <w:p w14:paraId="745A252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participation should be strategic and planned.</w:t>
      </w:r>
    </w:p>
    <w:p w14:paraId="414F970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1.1. Community participation should occur during project planning, </w:t>
      </w:r>
      <w:proofErr w:type="gramStart"/>
      <w:r>
        <w:rPr>
          <w:sz w:val="20"/>
          <w:szCs w:val="36"/>
        </w:rPr>
        <w:t>implementation</w:t>
      </w:r>
      <w:proofErr w:type="gramEnd"/>
      <w:r>
        <w:rPr>
          <w:sz w:val="20"/>
          <w:szCs w:val="36"/>
        </w:rPr>
        <w:t xml:space="preserve"> and evaluation. Project</w:t>
      </w:r>
    </w:p>
    <w:p w14:paraId="2562470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plans should reflect this. An appropriate level of community participation can be decided by the </w:t>
      </w:r>
      <w:proofErr w:type="gramStart"/>
      <w:r>
        <w:rPr>
          <w:sz w:val="20"/>
          <w:szCs w:val="36"/>
        </w:rPr>
        <w:t>staff</w:t>
      </w:r>
      <w:proofErr w:type="gramEnd"/>
    </w:p>
    <w:p w14:paraId="464CB78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member and their line manager.</w:t>
      </w:r>
    </w:p>
    <w:p w14:paraId="082AA9C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1.2. A range of engagement techniques should be considered to include marginalised and difficult-to-</w:t>
      </w:r>
      <w:proofErr w:type="gramStart"/>
      <w:r>
        <w:rPr>
          <w:sz w:val="20"/>
          <w:szCs w:val="36"/>
        </w:rPr>
        <w:t>reach</w:t>
      </w:r>
      <w:proofErr w:type="gramEnd"/>
    </w:p>
    <w:p w14:paraId="67BF7C3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community groups where possible. Staff should engage community members in spaces where they </w:t>
      </w:r>
      <w:proofErr w:type="gramStart"/>
      <w:r>
        <w:rPr>
          <w:sz w:val="20"/>
          <w:szCs w:val="36"/>
        </w:rPr>
        <w:t>are</w:t>
      </w:r>
      <w:proofErr w:type="gramEnd"/>
    </w:p>
    <w:p w14:paraId="380E77F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comfortable. This may include reaching out to existing community groups or via social media platforms.</w:t>
      </w:r>
    </w:p>
    <w:p w14:paraId="1E1E35D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If direct community participation is not appropriate or could lead to further disadvantage, staff </w:t>
      </w:r>
      <w:proofErr w:type="gramStart"/>
      <w:r>
        <w:rPr>
          <w:sz w:val="20"/>
          <w:szCs w:val="36"/>
        </w:rPr>
        <w:t>should</w:t>
      </w:r>
      <w:proofErr w:type="gramEnd"/>
    </w:p>
    <w:p w14:paraId="08039E5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seek other means of community input such as results from existing consultations.</w:t>
      </w:r>
    </w:p>
    <w:p w14:paraId="0DDF574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1.3. Sufficient project funds should be budgeted to support community participation.</w:t>
      </w:r>
    </w:p>
    <w:p w14:paraId="4C237A6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 Communication</w:t>
      </w:r>
    </w:p>
    <w:p w14:paraId="081AE1A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All communication with community should be understandable, </w:t>
      </w:r>
      <w:proofErr w:type="gramStart"/>
      <w:r>
        <w:rPr>
          <w:sz w:val="20"/>
          <w:szCs w:val="36"/>
        </w:rPr>
        <w:t>relevant</w:t>
      </w:r>
      <w:proofErr w:type="gramEnd"/>
      <w:r>
        <w:rPr>
          <w:sz w:val="20"/>
          <w:szCs w:val="36"/>
        </w:rPr>
        <w:t xml:space="preserve"> and appropriate to its audience.</w:t>
      </w:r>
    </w:p>
    <w:p w14:paraId="0A4FE4F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Communication should follow health literacy principles.</w:t>
      </w:r>
    </w:p>
    <w:p w14:paraId="36109A8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2.1. Consider the characteristics of your intended audience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languages spoken, reading ability and</w:t>
      </w:r>
    </w:p>
    <w:p w14:paraId="3604CDA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cultural background). &lt;The organisation&gt; encourages the use of interpreters or translations for </w:t>
      </w:r>
      <w:proofErr w:type="gramStart"/>
      <w:r>
        <w:rPr>
          <w:sz w:val="20"/>
          <w:szCs w:val="36"/>
        </w:rPr>
        <w:t>spoken</w:t>
      </w:r>
      <w:proofErr w:type="gramEnd"/>
    </w:p>
    <w:p w14:paraId="7151C09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and written communication when required.</w:t>
      </w:r>
    </w:p>
    <w:p w14:paraId="6855C9D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2.2. Use varied and appropriate methods of communication when engaging communities. Consider </w:t>
      </w:r>
      <w:proofErr w:type="gramStart"/>
      <w:r>
        <w:rPr>
          <w:sz w:val="20"/>
          <w:szCs w:val="36"/>
        </w:rPr>
        <w:t>using</w:t>
      </w:r>
      <w:proofErr w:type="gramEnd"/>
    </w:p>
    <w:p w14:paraId="3E2D932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networks, peak bodies, word-of-mouth, social </w:t>
      </w:r>
      <w:proofErr w:type="gramStart"/>
      <w:r>
        <w:rPr>
          <w:sz w:val="20"/>
          <w:szCs w:val="36"/>
        </w:rPr>
        <w:t>media</w:t>
      </w:r>
      <w:proofErr w:type="gramEnd"/>
      <w:r>
        <w:rPr>
          <w:sz w:val="20"/>
          <w:szCs w:val="36"/>
        </w:rPr>
        <w:t xml:space="preserve"> and traditional media.</w:t>
      </w:r>
    </w:p>
    <w:p w14:paraId="7573FD2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2.3. When communicating with community participants, negotiate a preferred method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text message,</w:t>
      </w:r>
    </w:p>
    <w:p w14:paraId="7DC4099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email or post). Participants should not be excluded because they are unable to use a staff </w:t>
      </w:r>
      <w:proofErr w:type="gramStart"/>
      <w:r>
        <w:rPr>
          <w:sz w:val="20"/>
          <w:szCs w:val="36"/>
        </w:rPr>
        <w:t>members’</w:t>
      </w:r>
      <w:proofErr w:type="gramEnd"/>
    </w:p>
    <w:p w14:paraId="64B12E9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preferred means of communication.</w:t>
      </w:r>
    </w:p>
    <w:p w14:paraId="7C552201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2.4. Communication should comply with &lt;list relevant documents 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communications policy, style guide,</w:t>
      </w:r>
    </w:p>
    <w:p w14:paraId="690687A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social media policy. Ensure listed documents incorporate health literacy and inclusive communication&gt;.</w:t>
      </w:r>
    </w:p>
    <w:p w14:paraId="3A90203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3. Recruitment and support</w:t>
      </w:r>
    </w:p>
    <w:p w14:paraId="4630971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Community participants should be recruited, </w:t>
      </w:r>
      <w:proofErr w:type="gramStart"/>
      <w:r>
        <w:rPr>
          <w:sz w:val="20"/>
          <w:szCs w:val="36"/>
        </w:rPr>
        <w:t>supported</w:t>
      </w:r>
      <w:proofErr w:type="gramEnd"/>
      <w:r>
        <w:rPr>
          <w:sz w:val="20"/>
          <w:szCs w:val="36"/>
        </w:rPr>
        <w:t xml:space="preserve"> and reimbursed in a manner appropriate to their role.</w:t>
      </w:r>
    </w:p>
    <w:p w14:paraId="51209D7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3.1. All community participants should be provided with a clear role description. This will ensure all </w:t>
      </w:r>
      <w:proofErr w:type="gramStart"/>
      <w:r>
        <w:rPr>
          <w:sz w:val="20"/>
          <w:szCs w:val="36"/>
        </w:rPr>
        <w:t>involved</w:t>
      </w:r>
      <w:proofErr w:type="gramEnd"/>
    </w:p>
    <w:p w14:paraId="6B46288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have a shared understanding of a community participant’s role.</w:t>
      </w:r>
    </w:p>
    <w:p w14:paraId="7D8DFA1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3.2. All community participants should be asked if they have accessibility, literacy, dietary, family, </w:t>
      </w:r>
      <w:proofErr w:type="gramStart"/>
      <w:r>
        <w:rPr>
          <w:sz w:val="20"/>
          <w:szCs w:val="36"/>
        </w:rPr>
        <w:t>religious</w:t>
      </w:r>
      <w:proofErr w:type="gramEnd"/>
    </w:p>
    <w:p w14:paraId="4AC03AF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or other needs, which should then be accommodated.</w:t>
      </w:r>
    </w:p>
    <w:p w14:paraId="4BA3044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3.3. Recruiting community participants to positions that are ongoing or involve a high degree of</w:t>
      </w:r>
    </w:p>
    <w:p w14:paraId="47E6E20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lastRenderedPageBreak/>
        <w:t>responsibility should follow a pre-determined recruitment process.</w:t>
      </w:r>
    </w:p>
    <w:p w14:paraId="7F799A5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3.4. Community participants should be offered and provided with any reasonable support to </w:t>
      </w:r>
      <w:proofErr w:type="spellStart"/>
      <w:r>
        <w:rPr>
          <w:sz w:val="20"/>
          <w:szCs w:val="36"/>
        </w:rPr>
        <w:t>fulfill</w:t>
      </w:r>
      <w:proofErr w:type="spellEnd"/>
      <w:r>
        <w:rPr>
          <w:sz w:val="20"/>
          <w:szCs w:val="36"/>
        </w:rPr>
        <w:t xml:space="preserve"> their role.</w:t>
      </w:r>
    </w:p>
    <w:p w14:paraId="7722716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Support that can be offered includes:</w:t>
      </w:r>
    </w:p>
    <w:p w14:paraId="7F65D4B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Orientation</w:t>
      </w:r>
    </w:p>
    <w:p w14:paraId="009F196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Briefing and debriefing practical aspects of their role, and emotional support</w:t>
      </w:r>
    </w:p>
    <w:p w14:paraId="729F181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Training and professional development</w:t>
      </w:r>
    </w:p>
    <w:p w14:paraId="5C6B9AE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Supervision or mentoring.</w:t>
      </w:r>
    </w:p>
    <w:p w14:paraId="2723251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It is the responsibility of staff working with the community participant to ensure that </w:t>
      </w:r>
      <w:proofErr w:type="gramStart"/>
      <w:r>
        <w:rPr>
          <w:sz w:val="20"/>
          <w:szCs w:val="36"/>
        </w:rPr>
        <w:t>appropriate</w:t>
      </w:r>
      <w:proofErr w:type="gramEnd"/>
    </w:p>
    <w:p w14:paraId="0A5245D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support is discussed and provided.</w:t>
      </w:r>
    </w:p>
    <w:p w14:paraId="114DE6D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3.5. Community participants should be reimbursed for their time when they provide a specific service </w:t>
      </w:r>
      <w:proofErr w:type="gramStart"/>
      <w:r>
        <w:rPr>
          <w:sz w:val="20"/>
          <w:szCs w:val="36"/>
        </w:rPr>
        <w:t>that</w:t>
      </w:r>
      <w:proofErr w:type="gramEnd"/>
    </w:p>
    <w:p w14:paraId="749E174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will benefit &lt;the organisation&gt;, at the request of &lt;the organisation&gt;. Reimbursements should </w:t>
      </w:r>
      <w:proofErr w:type="gramStart"/>
      <w:r>
        <w:rPr>
          <w:sz w:val="20"/>
          <w:szCs w:val="36"/>
        </w:rPr>
        <w:t>be</w:t>
      </w:r>
      <w:proofErr w:type="gramEnd"/>
    </w:p>
    <w:p w14:paraId="6FF0EA91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budgeted for and approved by a line manager.</w:t>
      </w:r>
    </w:p>
    <w:p w14:paraId="0863B7C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Further guidance can be found in the following procedure documents:</w:t>
      </w:r>
    </w:p>
    <w:p w14:paraId="748E5E4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Recruiting Community Participants &lt;see example procedure below&gt;</w:t>
      </w:r>
    </w:p>
    <w:p w14:paraId="14C3B5D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Supporting Community Participants &lt;see example procedure below&gt;</w:t>
      </w:r>
    </w:p>
    <w:p w14:paraId="3323D04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Reimbursing Community Participants &lt;see example procedure below&gt;</w:t>
      </w:r>
    </w:p>
    <w:p w14:paraId="7FF8E43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4. Feedback and recognition</w:t>
      </w:r>
    </w:p>
    <w:p w14:paraId="0A58F2D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participants should be provided with both feedback and recognition for their input.</w:t>
      </w:r>
    </w:p>
    <w:p w14:paraId="1168231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4.1. Community members who participate in any &lt;organisation&gt; activity should be provided with </w:t>
      </w:r>
      <w:proofErr w:type="gramStart"/>
      <w:r>
        <w:rPr>
          <w:sz w:val="20"/>
          <w:szCs w:val="36"/>
        </w:rPr>
        <w:t>feedback</w:t>
      </w:r>
      <w:proofErr w:type="gramEnd"/>
    </w:p>
    <w:p w14:paraId="63177AD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on the result of their input. This is a simple communication about what was achieved, how they made a</w:t>
      </w:r>
    </w:p>
    <w:p w14:paraId="16D0F84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difference or similar. It is important to help ‘close the loop’ of information and falls under Inform on the</w:t>
      </w:r>
    </w:p>
    <w:p w14:paraId="69D28C85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Spectrum of Public Participation. Examples include providing a workshop report, a copy of the </w:t>
      </w:r>
      <w:proofErr w:type="gramStart"/>
      <w:r>
        <w:rPr>
          <w:sz w:val="20"/>
          <w:szCs w:val="36"/>
        </w:rPr>
        <w:t>resource</w:t>
      </w:r>
      <w:proofErr w:type="gramEnd"/>
    </w:p>
    <w:p w14:paraId="4D65AF65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they contributed to or a follow-up phone call.</w:t>
      </w:r>
    </w:p>
    <w:p w14:paraId="510690C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4.2. Community participants who partner with &lt;the organisation&gt; in an ongoing role should be </w:t>
      </w:r>
      <w:proofErr w:type="gramStart"/>
      <w:r>
        <w:rPr>
          <w:sz w:val="20"/>
          <w:szCs w:val="36"/>
        </w:rPr>
        <w:t>provided</w:t>
      </w:r>
      <w:proofErr w:type="gramEnd"/>
    </w:p>
    <w:p w14:paraId="03EE03E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with regular project updates regarding their role where possible.</w:t>
      </w:r>
    </w:p>
    <w:p w14:paraId="5D17AEC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4.3. Recognition means acknowledging and thanking a community participant for their contributions to a</w:t>
      </w:r>
    </w:p>
    <w:p w14:paraId="70999CB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project or activity. It is important to recognise community participants’ contributions. This can be </w:t>
      </w:r>
      <w:proofErr w:type="gramStart"/>
      <w:r>
        <w:rPr>
          <w:sz w:val="20"/>
          <w:szCs w:val="36"/>
        </w:rPr>
        <w:t>done</w:t>
      </w:r>
      <w:proofErr w:type="gramEnd"/>
    </w:p>
    <w:p w14:paraId="501D820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in many ways, 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an email to project stakeholders, a thankyou card, acknowledgement in a project</w:t>
      </w:r>
    </w:p>
    <w:p w14:paraId="1711275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report or morning tea during the final project meeting.</w:t>
      </w:r>
    </w:p>
    <w:p w14:paraId="081E4F2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Definitions</w:t>
      </w:r>
    </w:p>
    <w:p w14:paraId="0DCF674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participant: a community member who is working with &lt;the organisation&gt; in any capacity. This can</w:t>
      </w:r>
    </w:p>
    <w:p w14:paraId="68B90B8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refer to once-off or ongoing work.</w:t>
      </w:r>
    </w:p>
    <w:p w14:paraId="1DFBBE2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Community participation occurs when consumers, carers and community members are meaningfully involved </w:t>
      </w:r>
      <w:proofErr w:type="gramStart"/>
      <w:r>
        <w:rPr>
          <w:sz w:val="20"/>
          <w:szCs w:val="36"/>
        </w:rPr>
        <w:t>in</w:t>
      </w:r>
      <w:proofErr w:type="gramEnd"/>
    </w:p>
    <w:p w14:paraId="5DBB2AB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lastRenderedPageBreak/>
        <w:t>decision making about health policy and planning, care and treatment, and the wellbeing of themselves and the</w:t>
      </w:r>
    </w:p>
    <w:p w14:paraId="7062D06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community. </w:t>
      </w:r>
    </w:p>
    <w:p w14:paraId="19E1C70D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059E0A1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Recruiting community participants</w:t>
      </w:r>
    </w:p>
    <w:p w14:paraId="1AF55844" w14:textId="77777777" w:rsidR="004544B1" w:rsidRDefault="004544B1">
      <w:pPr>
        <w:pStyle w:val="BodyText"/>
        <w:jc w:val="both"/>
        <w:rPr>
          <w:sz w:val="20"/>
          <w:szCs w:val="36"/>
        </w:rPr>
      </w:pPr>
    </w:p>
    <w:p w14:paraId="5147E89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When recruiting to positions that are ongoing (medium- or long-term) or involve a high degree of responsibility,</w:t>
      </w:r>
    </w:p>
    <w:p w14:paraId="4EB3CCE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it is important to plan and follow a recruitment procedure.</w:t>
      </w:r>
    </w:p>
    <w:p w14:paraId="62C90CD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 Develop a clear role description that includes:</w:t>
      </w:r>
    </w:p>
    <w:p w14:paraId="55FE7A2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Project background in plain language.</w:t>
      </w:r>
    </w:p>
    <w:p w14:paraId="1EA1398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Applicant requirements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experience, interests, locality).</w:t>
      </w:r>
    </w:p>
    <w:p w14:paraId="2A27F61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The requirements of the role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attend meetings, represent a specific group, provide written reports).</w:t>
      </w:r>
    </w:p>
    <w:p w14:paraId="5A17826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Support available to participant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interpreters, nominated contact person, briefing and debriefing,</w:t>
      </w:r>
    </w:p>
    <w:p w14:paraId="52F1906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buddy systems).</w:t>
      </w:r>
    </w:p>
    <w:p w14:paraId="183E0FC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Contact details of a key staff member for further information about the role.</w:t>
      </w:r>
    </w:p>
    <w:p w14:paraId="1FF0BE0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Provide clear instructions how interested community members can express interest.</w:t>
      </w:r>
    </w:p>
    <w:p w14:paraId="71B7FAB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 Advertise for expressions of interest from community members</w:t>
      </w:r>
    </w:p>
    <w:p w14:paraId="3A1A6AA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Develop a short and appropriate advertisement.</w:t>
      </w:r>
    </w:p>
    <w:p w14:paraId="227AE57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Circulate the advertisement and role description through appropriate networks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consumer groups)</w:t>
      </w:r>
    </w:p>
    <w:p w14:paraId="5FC284D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and other means (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local media).</w:t>
      </w:r>
    </w:p>
    <w:p w14:paraId="446EE7D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Timelines for this process must provide community members sufficient time to respond.</w:t>
      </w:r>
    </w:p>
    <w:p w14:paraId="6DC05A9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3. Select and appoint community participants</w:t>
      </w:r>
    </w:p>
    <w:p w14:paraId="075F99D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Choose a selection process which is appropriate for the role. Be mindful not to place a burden on</w:t>
      </w:r>
    </w:p>
    <w:p w14:paraId="799D77E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members. This may include one or more of: Written application, telephone interview, face-</w:t>
      </w:r>
      <w:proofErr w:type="spellStart"/>
      <w:r>
        <w:rPr>
          <w:sz w:val="20"/>
          <w:szCs w:val="36"/>
        </w:rPr>
        <w:t>toface</w:t>
      </w:r>
      <w:proofErr w:type="spellEnd"/>
      <w:r>
        <w:rPr>
          <w:sz w:val="20"/>
          <w:szCs w:val="36"/>
        </w:rPr>
        <w:t xml:space="preserve"> interview, reference checks.</w:t>
      </w:r>
    </w:p>
    <w:p w14:paraId="290D34C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Discuss the selection process with interviewees.</w:t>
      </w:r>
    </w:p>
    <w:p w14:paraId="7AAF87B1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Advise all community members who expressed interest on the outcome of their application.</w:t>
      </w:r>
    </w:p>
    <w:p w14:paraId="3AF58EB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4. Police checks</w:t>
      </w:r>
    </w:p>
    <w:p w14:paraId="7971787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&lt;The organisation&gt; does not generally require police checks for community participants, as they can be a</w:t>
      </w:r>
    </w:p>
    <w:p w14:paraId="112779F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potential barrier to participation.</w:t>
      </w:r>
    </w:p>
    <w:p w14:paraId="327E178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In some specific projects a police check might be part of a risk management process. In this situation, a</w:t>
      </w:r>
    </w:p>
    <w:p w14:paraId="2A5A3F8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police check should be just one part of a broader process.</w:t>
      </w:r>
    </w:p>
    <w:p w14:paraId="63433C6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• If the community participant will be working with children, a Working </w:t>
      </w:r>
      <w:proofErr w:type="gramStart"/>
      <w:r>
        <w:rPr>
          <w:sz w:val="20"/>
          <w:szCs w:val="36"/>
        </w:rPr>
        <w:t>With</w:t>
      </w:r>
      <w:proofErr w:type="gramEnd"/>
      <w:r>
        <w:rPr>
          <w:sz w:val="20"/>
          <w:szCs w:val="36"/>
        </w:rPr>
        <w:t xml:space="preserve"> Children check may be</w:t>
      </w:r>
    </w:p>
    <w:p w14:paraId="25716E5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appropriate.</w:t>
      </w:r>
    </w:p>
    <w:p w14:paraId="0BA31CE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This procedure has been developed to support the Community Participation Policy.</w:t>
      </w:r>
    </w:p>
    <w:p w14:paraId="0B97C7B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lastRenderedPageBreak/>
        <w:t>Resources and templates for recruiting community participants are available &lt;insert location&gt;.</w:t>
      </w:r>
    </w:p>
    <w:p w14:paraId="58D4B6F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It is the responsibility of staff working with the community participant to ensure that community participants </w:t>
      </w:r>
      <w:proofErr w:type="gramStart"/>
      <w:r>
        <w:rPr>
          <w:sz w:val="20"/>
          <w:szCs w:val="36"/>
        </w:rPr>
        <w:t>are</w:t>
      </w:r>
      <w:proofErr w:type="gramEnd"/>
    </w:p>
    <w:p w14:paraId="737C815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supported to </w:t>
      </w:r>
      <w:proofErr w:type="spellStart"/>
      <w:r>
        <w:rPr>
          <w:sz w:val="20"/>
          <w:szCs w:val="36"/>
        </w:rPr>
        <w:t>fulfill</w:t>
      </w:r>
      <w:proofErr w:type="spellEnd"/>
      <w:r>
        <w:rPr>
          <w:sz w:val="20"/>
          <w:szCs w:val="36"/>
        </w:rPr>
        <w:t xml:space="preserve"> their role.</w:t>
      </w:r>
    </w:p>
    <w:p w14:paraId="0A79DAD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 Orientation</w:t>
      </w:r>
    </w:p>
    <w:p w14:paraId="7FCE336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participants in a regularly or ongoing role should receive an orientation. The purpose of an</w:t>
      </w:r>
    </w:p>
    <w:p w14:paraId="24974F4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orientation is to help the new community participant feel welcome and provide them with the information they</w:t>
      </w:r>
    </w:p>
    <w:p w14:paraId="5BC88A9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need to perform their role effectively.</w:t>
      </w:r>
    </w:p>
    <w:p w14:paraId="3779A71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The orientation should be conducted by a staff member, who may work with an experienced community</w:t>
      </w:r>
    </w:p>
    <w:p w14:paraId="510CB85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participant. It should be conducted according to &lt;insert relevant resource here </w:t>
      </w:r>
      <w:proofErr w:type="gramStart"/>
      <w:r>
        <w:rPr>
          <w:sz w:val="20"/>
          <w:szCs w:val="36"/>
        </w:rPr>
        <w:t>e.g.</w:t>
      </w:r>
      <w:proofErr w:type="gramEnd"/>
      <w:r>
        <w:rPr>
          <w:sz w:val="20"/>
          <w:szCs w:val="36"/>
        </w:rPr>
        <w:t xml:space="preserve"> Community Orientation</w:t>
      </w:r>
    </w:p>
    <w:p w14:paraId="70097D6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Manual&gt;.</w:t>
      </w:r>
    </w:p>
    <w:p w14:paraId="371DE74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It must include a building and OHS orientation if the community participant will regularly work onsite.</w:t>
      </w:r>
    </w:p>
    <w:p w14:paraId="113DCA6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A record of orientation activities should be kept by the staff member.</w:t>
      </w:r>
    </w:p>
    <w:p w14:paraId="0A89F1A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 Briefing and debriefing</w:t>
      </w:r>
    </w:p>
    <w:p w14:paraId="6908B4F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participants should be offered the chance to be briefed and to debrief about their work. This can</w:t>
      </w:r>
    </w:p>
    <w:p w14:paraId="0E142A8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include questions, </w:t>
      </w:r>
      <w:proofErr w:type="gramStart"/>
      <w:r>
        <w:rPr>
          <w:sz w:val="20"/>
          <w:szCs w:val="36"/>
        </w:rPr>
        <w:t>discussion</w:t>
      </w:r>
      <w:proofErr w:type="gramEnd"/>
      <w:r>
        <w:rPr>
          <w:sz w:val="20"/>
          <w:szCs w:val="36"/>
        </w:rPr>
        <w:t xml:space="preserve"> and active reflection.</w:t>
      </w:r>
    </w:p>
    <w:p w14:paraId="36B01DA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Debriefing is particularly important if the project area is sensitive, polarising or contains potentially </w:t>
      </w:r>
      <w:proofErr w:type="gramStart"/>
      <w:r>
        <w:rPr>
          <w:sz w:val="20"/>
          <w:szCs w:val="36"/>
        </w:rPr>
        <w:t>distressing</w:t>
      </w:r>
      <w:proofErr w:type="gramEnd"/>
    </w:p>
    <w:p w14:paraId="1D6DD095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content. Be aware of support services you can refer community members to, if more than a standard debrief is</w:t>
      </w:r>
    </w:p>
    <w:p w14:paraId="18E799D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required.</w:t>
      </w:r>
    </w:p>
    <w:p w14:paraId="0806231B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3. Additional forms of support</w:t>
      </w:r>
    </w:p>
    <w:p w14:paraId="6E7D6D4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participants may require or benefit from additional forms of supports to perform their role.</w:t>
      </w:r>
    </w:p>
    <w:p w14:paraId="5CD6AFB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This may include:</w:t>
      </w:r>
    </w:p>
    <w:p w14:paraId="331FAE7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- Assistance with transport</w:t>
      </w:r>
    </w:p>
    <w:p w14:paraId="6174BA6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- Appropriate training (personal or professional development)</w:t>
      </w:r>
    </w:p>
    <w:p w14:paraId="56211EC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- Mentoring and supervision</w:t>
      </w:r>
    </w:p>
    <w:p w14:paraId="4FA7563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- Access to an interpreter.</w:t>
      </w:r>
    </w:p>
    <w:p w14:paraId="61A3819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Staff should discuss this with community participants, and ensure costs are budgeted for and discuss these with</w:t>
      </w:r>
    </w:p>
    <w:p w14:paraId="58AEDF6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their line manager.</w:t>
      </w:r>
    </w:p>
    <w:p w14:paraId="47BE88E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This procedure has been developed to support the Community Participation Policy.</w:t>
      </w:r>
    </w:p>
    <w:p w14:paraId="7396EF1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Resources related to supporting consumer participants are available &lt;insert location&gt;.</w:t>
      </w:r>
    </w:p>
    <w:p w14:paraId="00602CA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Reimbursing community participants for their time is one way that we support and recognise their contribution.</w:t>
      </w:r>
    </w:p>
    <w:p w14:paraId="049D41D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1. When is reimbursement required?</w:t>
      </w:r>
    </w:p>
    <w:p w14:paraId="1FF443D5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• Community members should be reimbursed for their time when they provide a specific service that will</w:t>
      </w:r>
    </w:p>
    <w:p w14:paraId="78DAF8FC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benefit the community.</w:t>
      </w:r>
    </w:p>
    <w:p w14:paraId="038ED4D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lastRenderedPageBreak/>
        <w:t>• Reimbursement is not required when the community member is performing an undemanding task, has</w:t>
      </w:r>
    </w:p>
    <w:p w14:paraId="1987428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volunteered their time or is being compensated by other means.</w:t>
      </w:r>
    </w:p>
    <w:p w14:paraId="750EE38A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Activities requiring payment Activities not requiring </w:t>
      </w:r>
      <w:proofErr w:type="gramStart"/>
      <w:r>
        <w:rPr>
          <w:sz w:val="20"/>
          <w:szCs w:val="36"/>
        </w:rPr>
        <w:t>payment</w:t>
      </w:r>
      <w:proofErr w:type="gramEnd"/>
    </w:p>
    <w:p w14:paraId="573C2A6E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rFonts w:ascii="Segoe UI Symbol" w:hAnsi="Segoe UI Symbol" w:cs="Segoe UI Symbol"/>
          <w:sz w:val="20"/>
          <w:szCs w:val="36"/>
        </w:rPr>
        <w:t>✓</w:t>
      </w:r>
      <w:r>
        <w:rPr>
          <w:sz w:val="20"/>
          <w:szCs w:val="36"/>
        </w:rPr>
        <w:t xml:space="preserve"> Sitting on a committee</w:t>
      </w:r>
    </w:p>
    <w:p w14:paraId="3A349D3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rFonts w:ascii="Segoe UI Symbol" w:hAnsi="Segoe UI Symbol" w:cs="Segoe UI Symbol"/>
          <w:sz w:val="20"/>
          <w:szCs w:val="36"/>
        </w:rPr>
        <w:t>✓</w:t>
      </w:r>
      <w:r>
        <w:rPr>
          <w:sz w:val="20"/>
          <w:szCs w:val="36"/>
        </w:rPr>
        <w:t xml:space="preserve"> Presenting at an event</w:t>
      </w:r>
    </w:p>
    <w:p w14:paraId="0F7F5BD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rFonts w:ascii="Segoe UI Symbol" w:hAnsi="Segoe UI Symbol" w:cs="Segoe UI Symbol"/>
          <w:sz w:val="20"/>
          <w:szCs w:val="36"/>
        </w:rPr>
        <w:t>✓</w:t>
      </w:r>
      <w:r>
        <w:rPr>
          <w:sz w:val="20"/>
          <w:szCs w:val="36"/>
        </w:rPr>
        <w:t xml:space="preserve"> Sitting on an interview panel</w:t>
      </w:r>
    </w:p>
    <w:p w14:paraId="23F2DDF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rFonts w:ascii="Segoe UI Symbol" w:hAnsi="Segoe UI Symbol" w:cs="Segoe UI Symbol"/>
          <w:sz w:val="20"/>
          <w:szCs w:val="36"/>
        </w:rPr>
        <w:t>✓</w:t>
      </w:r>
      <w:r>
        <w:rPr>
          <w:sz w:val="20"/>
          <w:szCs w:val="36"/>
        </w:rPr>
        <w:t xml:space="preserve"> Providing feedback on resource or plan.</w:t>
      </w:r>
    </w:p>
    <w:p w14:paraId="3739E93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 Filling out an </w:t>
      </w:r>
      <w:proofErr w:type="gramStart"/>
      <w:r>
        <w:rPr>
          <w:sz w:val="20"/>
          <w:szCs w:val="36"/>
        </w:rPr>
        <w:t>evaluation</w:t>
      </w:r>
      <w:proofErr w:type="gramEnd"/>
    </w:p>
    <w:p w14:paraId="43B44AA1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 Activities open to the general </w:t>
      </w:r>
      <w:proofErr w:type="gramStart"/>
      <w:r>
        <w:rPr>
          <w:sz w:val="20"/>
          <w:szCs w:val="36"/>
        </w:rPr>
        <w:t>public</w:t>
      </w:r>
      <w:proofErr w:type="gramEnd"/>
    </w:p>
    <w:p w14:paraId="769FDB0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 Attending a voluntary training </w:t>
      </w:r>
      <w:proofErr w:type="gramStart"/>
      <w:r>
        <w:rPr>
          <w:sz w:val="20"/>
          <w:szCs w:val="36"/>
        </w:rPr>
        <w:t>event</w:t>
      </w:r>
      <w:proofErr w:type="gramEnd"/>
    </w:p>
    <w:p w14:paraId="6DA3766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 Attending a short community </w:t>
      </w:r>
      <w:proofErr w:type="gramStart"/>
      <w:r>
        <w:rPr>
          <w:sz w:val="20"/>
          <w:szCs w:val="36"/>
        </w:rPr>
        <w:t>consultation</w:t>
      </w:r>
      <w:proofErr w:type="gramEnd"/>
    </w:p>
    <w:p w14:paraId="330186C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where food and transport </w:t>
      </w:r>
      <w:proofErr w:type="gramStart"/>
      <w:r>
        <w:rPr>
          <w:sz w:val="20"/>
          <w:szCs w:val="36"/>
        </w:rPr>
        <w:t>is</w:t>
      </w:r>
      <w:proofErr w:type="gramEnd"/>
      <w:r>
        <w:rPr>
          <w:sz w:val="20"/>
          <w:szCs w:val="36"/>
        </w:rPr>
        <w:t xml:space="preserve"> provided.</w:t>
      </w:r>
    </w:p>
    <w:p w14:paraId="5C9BB5BD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2. Reimbursing other costs</w:t>
      </w:r>
    </w:p>
    <w:p w14:paraId="5C97F7C3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Out of pocket expenses directly associated with participating should be reimbursed. Participants should </w:t>
      </w:r>
      <w:proofErr w:type="gramStart"/>
      <w:r>
        <w:rPr>
          <w:sz w:val="20"/>
          <w:szCs w:val="36"/>
        </w:rPr>
        <w:t>discuss</w:t>
      </w:r>
      <w:proofErr w:type="gramEnd"/>
    </w:p>
    <w:p w14:paraId="4D08E77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any expenditure with a staff member before spending any money.</w:t>
      </w:r>
    </w:p>
    <w:p w14:paraId="69A43164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Costs associated with travelling to or from an activity are generally not reimbursed. </w:t>
      </w:r>
      <w:proofErr w:type="gramStart"/>
      <w:r>
        <w:rPr>
          <w:sz w:val="20"/>
          <w:szCs w:val="36"/>
        </w:rPr>
        <w:t>However</w:t>
      </w:r>
      <w:proofErr w:type="gramEnd"/>
      <w:r>
        <w:rPr>
          <w:sz w:val="20"/>
          <w:szCs w:val="36"/>
        </w:rPr>
        <w:t xml:space="preserve"> they may be</w:t>
      </w:r>
    </w:p>
    <w:p w14:paraId="5B07CAE1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reimbursed under special circumstances and at the discretion of the project worker. Taxi vouchers may </w:t>
      </w:r>
      <w:proofErr w:type="gramStart"/>
      <w:r>
        <w:rPr>
          <w:sz w:val="20"/>
          <w:szCs w:val="36"/>
        </w:rPr>
        <w:t>be</w:t>
      </w:r>
      <w:proofErr w:type="gramEnd"/>
    </w:p>
    <w:p w14:paraId="54FEF5C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provided where the venue is inaccessible by public transport.</w:t>
      </w:r>
    </w:p>
    <w:p w14:paraId="5426A2B0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3. Reimbursement amounts</w:t>
      </w:r>
    </w:p>
    <w:p w14:paraId="693C0EE7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Community participants should be paid according to the Community Participant Payment Guide provided.</w:t>
      </w:r>
    </w:p>
    <w:p w14:paraId="4014B35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 xml:space="preserve">&lt;Develop a payment guide and provide details. The Health Issues Centre’s Paying and reimbursing </w:t>
      </w:r>
      <w:proofErr w:type="gramStart"/>
      <w:r>
        <w:rPr>
          <w:sz w:val="20"/>
          <w:szCs w:val="36"/>
        </w:rPr>
        <w:t>consumers</w:t>
      </w:r>
      <w:proofErr w:type="gramEnd"/>
    </w:p>
    <w:p w14:paraId="75321C39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position statement is a recommended source.&gt;</w:t>
      </w:r>
    </w:p>
    <w:p w14:paraId="1E71B94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4. Providing reimbursements</w:t>
      </w:r>
    </w:p>
    <w:p w14:paraId="0BDED64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Any reimbursements (for time or other costs) should be discussed and agreed on before the participation or</w:t>
      </w:r>
    </w:p>
    <w:p w14:paraId="7ECE4B2F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expenditure occurs.</w:t>
      </w:r>
    </w:p>
    <w:p w14:paraId="4B274688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All reimbursements should be budgeted within the relevant project budget.</w:t>
      </w:r>
    </w:p>
    <w:p w14:paraId="3CC99E02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This procedure has been developed to support the Community Participation Policy.</w:t>
      </w:r>
    </w:p>
    <w:p w14:paraId="1DBF7AF6" w14:textId="77777777" w:rsidR="004544B1" w:rsidRDefault="00000000">
      <w:pPr>
        <w:pStyle w:val="BodyText"/>
        <w:jc w:val="both"/>
        <w:rPr>
          <w:sz w:val="20"/>
          <w:szCs w:val="36"/>
        </w:rPr>
      </w:pPr>
      <w:r>
        <w:rPr>
          <w:sz w:val="20"/>
          <w:szCs w:val="36"/>
        </w:rPr>
        <w:t>Reimbursement resources are available &lt;insert location&gt;.</w:t>
      </w:r>
    </w:p>
    <w:p w14:paraId="55DCE6BD" w14:textId="77777777" w:rsidR="004544B1" w:rsidRDefault="004544B1">
      <w:pPr>
        <w:jc w:val="both"/>
        <w:rPr>
          <w:rFonts w:ascii="Times New Roman" w:hAnsi="Times New Roman"/>
          <w:sz w:val="20"/>
          <w:szCs w:val="22"/>
        </w:rPr>
      </w:pPr>
    </w:p>
    <w:sectPr w:rsidR="004544B1">
      <w:headerReference w:type="default" r:id="rId7"/>
      <w:footerReference w:type="default" r:id="rId8"/>
      <w:pgSz w:w="11907" w:h="16840"/>
      <w:pgMar w:top="2232" w:right="850" w:bottom="1418" w:left="993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5C1D" w14:textId="77777777" w:rsidR="00CF04B5" w:rsidRDefault="00CF04B5">
      <w:r>
        <w:separator/>
      </w:r>
    </w:p>
  </w:endnote>
  <w:endnote w:type="continuationSeparator" w:id="0">
    <w:p w14:paraId="633617D8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Symbol">
    <w:altName w:val="苹方-简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6372" w14:textId="77777777" w:rsidR="004544B1" w:rsidRDefault="00000000">
    <w:pPr>
      <w:pStyle w:val="Footer"/>
      <w:tabs>
        <w:tab w:val="right" w:pos="10080"/>
      </w:tabs>
      <w:rPr>
        <w:rFonts w:asciiTheme="minorHAnsi" w:hAnsiTheme="minorHAnsi" w:cstheme="minorHAnsi"/>
        <w:szCs w:val="16"/>
      </w:rPr>
    </w:pPr>
    <w:r>
      <w:rPr>
        <w:szCs w:val="16"/>
        <w:lang w:val="en-US" w:eastAsia="zh-CN"/>
      </w:rPr>
      <w:t>MARV</w:t>
    </w:r>
    <w:r>
      <w:rPr>
        <w:sz w:val="18"/>
        <w:szCs w:val="18"/>
        <w:lang w:val="en-US" w:eastAsia="zh-CN"/>
      </w:rPr>
      <w:t>-</w:t>
    </w:r>
    <w:r>
      <w:rPr>
        <w:rFonts w:asciiTheme="minorHAnsi" w:hAnsiTheme="minorHAnsi" w:cstheme="minorHAnsi"/>
        <w:szCs w:val="16"/>
      </w:rPr>
      <w:t xml:space="preserve">POL-26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Cs w:val="16"/>
      </w:rPr>
      <w:fldChar w:fldCharType="begin"/>
    </w:r>
    <w:r>
      <w:rPr>
        <w:rFonts w:asciiTheme="minorHAnsi" w:hAnsiTheme="minorHAnsi" w:cstheme="minorHAnsi"/>
        <w:szCs w:val="16"/>
      </w:rPr>
      <w:instrText xml:space="preserve"> PAGE   \* MERGEFORMAT </w:instrText>
    </w:r>
    <w:r>
      <w:rPr>
        <w:rFonts w:asciiTheme="minorHAnsi" w:hAnsiTheme="minorHAnsi" w:cstheme="minorHAnsi"/>
        <w:szCs w:val="16"/>
      </w:rPr>
      <w:fldChar w:fldCharType="separate"/>
    </w:r>
    <w:r>
      <w:rPr>
        <w:rFonts w:asciiTheme="minorHAnsi" w:hAnsiTheme="minorHAnsi" w:cstheme="minorHAnsi"/>
        <w:szCs w:val="16"/>
      </w:rPr>
      <w:t>1</w:t>
    </w:r>
    <w:r>
      <w:rPr>
        <w:rFonts w:asciiTheme="minorHAnsi" w:hAnsiTheme="minorHAnsi" w:cstheme="minorHAnsi"/>
        <w:szCs w:val="16"/>
      </w:rPr>
      <w:fldChar w:fldCharType="end"/>
    </w:r>
    <w:r>
      <w:rPr>
        <w:rFonts w:asciiTheme="minorHAnsi" w:hAnsiTheme="minorHAnsi" w:cstheme="minorHAnsi"/>
        <w:szCs w:val="16"/>
      </w:rPr>
      <w:t xml:space="preserve">              </w:t>
    </w:r>
  </w:p>
  <w:p w14:paraId="735BC595" w14:textId="77777777" w:rsidR="004544B1" w:rsidRDefault="00000000">
    <w:pPr>
      <w:pStyle w:val="Footer"/>
      <w:tabs>
        <w:tab w:val="right" w:pos="10080"/>
      </w:tabs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Cs w:val="16"/>
      </w:rPr>
      <w:t>Revision-02</w:t>
    </w:r>
  </w:p>
  <w:p w14:paraId="22B7D5AC" w14:textId="4EBCAD70" w:rsidR="004544B1" w:rsidRDefault="00000000">
    <w:pPr>
      <w:pStyle w:val="Footer"/>
    </w:pPr>
    <w:r>
      <w:rPr>
        <w:rFonts w:asciiTheme="minorHAnsi" w:hAnsiTheme="minorHAnsi" w:cstheme="minorHAnsi"/>
        <w:szCs w:val="16"/>
      </w:rPr>
      <w:t>Issuance Date: 15-</w:t>
    </w:r>
    <w:r w:rsidR="00C23E72">
      <w:rPr>
        <w:rFonts w:asciiTheme="minorHAnsi" w:hAnsiTheme="minorHAnsi" w:cstheme="minorHAnsi"/>
        <w:szCs w:val="16"/>
      </w:rPr>
      <w:t>05</w:t>
    </w:r>
    <w:r>
      <w:rPr>
        <w:rFonts w:asciiTheme="minorHAnsi" w:hAnsiTheme="minorHAnsi" w:cstheme="minorHAnsi"/>
        <w:szCs w:val="16"/>
      </w:rPr>
      <w:t>-202</w:t>
    </w:r>
    <w:r w:rsidR="00C23E72">
      <w:rPr>
        <w:rFonts w:asciiTheme="minorHAnsi" w:hAnsiTheme="minorHAnsi" w:cstheme="minorHAnsi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2E7F" w14:textId="77777777" w:rsidR="00CF04B5" w:rsidRDefault="00CF04B5">
      <w:r>
        <w:separator/>
      </w:r>
    </w:p>
  </w:footnote>
  <w:footnote w:type="continuationSeparator" w:id="0">
    <w:p w14:paraId="5013E97F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19CF" w14:textId="77777777" w:rsidR="00C23E72" w:rsidRDefault="00C23E72">
    <w:pPr>
      <w:pStyle w:val="Header"/>
      <w:tabs>
        <w:tab w:val="center" w:pos="4153"/>
        <w:tab w:val="right" w:pos="8306"/>
      </w:tabs>
      <w:jc w:val="center"/>
      <w:rPr>
        <w:rFonts w:ascii="Calibri" w:eastAsia="Batang" w:hAnsi="Calibri" w:cs="Calibri"/>
        <w:b/>
        <w:sz w:val="32"/>
        <w:szCs w:val="32"/>
      </w:rPr>
    </w:pPr>
  </w:p>
  <w:p w14:paraId="1F237827" w14:textId="4C2D5109" w:rsidR="004544B1" w:rsidRDefault="00C23E72">
    <w:pPr>
      <w:pStyle w:val="Header"/>
      <w:tabs>
        <w:tab w:val="center" w:pos="4153"/>
        <w:tab w:val="right" w:pos="8306"/>
      </w:tabs>
      <w:jc w:val="center"/>
      <w:rPr>
        <w:rFonts w:ascii="Calibri" w:eastAsia="Batang" w:hAnsi="Calibri" w:cs="Calibri"/>
        <w:b/>
        <w:sz w:val="32"/>
        <w:szCs w:val="32"/>
      </w:rPr>
    </w:pPr>
    <w:r>
      <w:rPr>
        <w:rFonts w:ascii="Calibri" w:eastAsia="Batang" w:hAnsi="Calibri" w:cs="Calibri"/>
        <w:b/>
        <w:sz w:val="32"/>
        <w:szCs w:val="32"/>
      </w:rPr>
      <w:br/>
    </w:r>
    <w:r w:rsidR="00000000">
      <w:rPr>
        <w:noProof/>
      </w:rPr>
      <w:drawing>
        <wp:anchor distT="0" distB="0" distL="0" distR="0" simplePos="0" relativeHeight="251659264" behindDoc="1" locked="0" layoutInCell="1" allowOverlap="1" wp14:anchorId="6BC76E03" wp14:editId="5CD44FE4">
          <wp:simplePos x="0" y="0"/>
          <wp:positionH relativeFrom="column">
            <wp:posOffset>151765</wp:posOffset>
          </wp:positionH>
          <wp:positionV relativeFrom="paragraph">
            <wp:posOffset>-274955</wp:posOffset>
          </wp:positionV>
          <wp:extent cx="1849755" cy="62738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7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libri" w:eastAsia="Batang" w:hAnsi="Calibri" w:cs="Calibri"/>
        <w:b/>
        <w:sz w:val="32"/>
        <w:szCs w:val="32"/>
      </w:rPr>
      <w:t>Community Policy</w:t>
    </w:r>
  </w:p>
  <w:p w14:paraId="2EC543F0" w14:textId="77777777" w:rsidR="004544B1" w:rsidRDefault="004544B1">
    <w:pPr>
      <w:pStyle w:val="Header"/>
      <w:tabs>
        <w:tab w:val="center" w:pos="4153"/>
        <w:tab w:val="right" w:pos="8306"/>
      </w:tabs>
      <w:rPr>
        <w:rFonts w:ascii="Calibri" w:eastAsia="Batang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874"/>
    <w:multiLevelType w:val="multilevel"/>
    <w:tmpl w:val="04A14874"/>
    <w:lvl w:ilvl="0">
      <w:start w:val="1"/>
      <w:numFmt w:val="bullet"/>
      <w:pStyle w:val="List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066"/>
    <w:multiLevelType w:val="multilevel"/>
    <w:tmpl w:val="12C55066"/>
    <w:lvl w:ilvl="0">
      <w:start w:val="1"/>
      <w:numFmt w:val="bullet"/>
      <w:pStyle w:val="ListBullet2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81E"/>
    <w:multiLevelType w:val="multilevel"/>
    <w:tmpl w:val="2945081E"/>
    <w:lvl w:ilvl="0">
      <w:start w:val="1"/>
      <w:numFmt w:val="decimal"/>
      <w:pStyle w:val="Style1"/>
      <w:lvlText w:val="%1."/>
      <w:lvlJc w:val="left"/>
      <w:pPr>
        <w:tabs>
          <w:tab w:val="left" w:pos="709"/>
        </w:tabs>
        <w:ind w:left="709" w:hanging="70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F287DC7"/>
    <w:multiLevelType w:val="multilevel"/>
    <w:tmpl w:val="7F287DC7"/>
    <w:lvl w:ilvl="0">
      <w:start w:val="1"/>
      <w:numFmt w:val="decimal"/>
      <w:pStyle w:val="Heading1"/>
      <w:lvlText w:val="%1."/>
      <w:lvlJc w:val="left"/>
      <w:pPr>
        <w:tabs>
          <w:tab w:val="left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Heading2NotBold"/>
      <w:lvlText w:val="%1.%3"/>
      <w:lvlJc w:val="left"/>
      <w:pPr>
        <w:tabs>
          <w:tab w:val="left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left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lvlText w:val="%1.%2.%4.%6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 w16cid:durableId="1344236419">
    <w:abstractNumId w:val="3"/>
  </w:num>
  <w:num w:numId="2" w16cid:durableId="1409497784">
    <w:abstractNumId w:val="2"/>
  </w:num>
  <w:num w:numId="3" w16cid:durableId="837884184">
    <w:abstractNumId w:val="0"/>
  </w:num>
  <w:num w:numId="4" w16cid:durableId="27544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6B"/>
    <w:rsid w:val="00001E24"/>
    <w:rsid w:val="00042AE6"/>
    <w:rsid w:val="000C7050"/>
    <w:rsid w:val="000F6C6D"/>
    <w:rsid w:val="00126F40"/>
    <w:rsid w:val="00167114"/>
    <w:rsid w:val="00195503"/>
    <w:rsid w:val="001C31FF"/>
    <w:rsid w:val="001E0E87"/>
    <w:rsid w:val="002407CA"/>
    <w:rsid w:val="0024636B"/>
    <w:rsid w:val="0025463B"/>
    <w:rsid w:val="00273732"/>
    <w:rsid w:val="00285745"/>
    <w:rsid w:val="00291801"/>
    <w:rsid w:val="002A0EFA"/>
    <w:rsid w:val="00312591"/>
    <w:rsid w:val="00326F4A"/>
    <w:rsid w:val="0033314E"/>
    <w:rsid w:val="00356998"/>
    <w:rsid w:val="003855EA"/>
    <w:rsid w:val="004043E1"/>
    <w:rsid w:val="004544B1"/>
    <w:rsid w:val="004649FA"/>
    <w:rsid w:val="004C168A"/>
    <w:rsid w:val="004C3CE0"/>
    <w:rsid w:val="004D4BCD"/>
    <w:rsid w:val="00526A8D"/>
    <w:rsid w:val="00555057"/>
    <w:rsid w:val="005A66B3"/>
    <w:rsid w:val="005E53F0"/>
    <w:rsid w:val="00603D89"/>
    <w:rsid w:val="006171DB"/>
    <w:rsid w:val="00683F1A"/>
    <w:rsid w:val="006A7BE5"/>
    <w:rsid w:val="006C5CFF"/>
    <w:rsid w:val="006D718A"/>
    <w:rsid w:val="00701746"/>
    <w:rsid w:val="007033DA"/>
    <w:rsid w:val="00744C22"/>
    <w:rsid w:val="007477CC"/>
    <w:rsid w:val="007628CE"/>
    <w:rsid w:val="00781761"/>
    <w:rsid w:val="007B13CE"/>
    <w:rsid w:val="007D3EA9"/>
    <w:rsid w:val="008203FD"/>
    <w:rsid w:val="00824FE0"/>
    <w:rsid w:val="00866FBD"/>
    <w:rsid w:val="00870B49"/>
    <w:rsid w:val="008B4004"/>
    <w:rsid w:val="008C552F"/>
    <w:rsid w:val="009333F2"/>
    <w:rsid w:val="009432D6"/>
    <w:rsid w:val="009435ED"/>
    <w:rsid w:val="00963940"/>
    <w:rsid w:val="0097504F"/>
    <w:rsid w:val="0098537B"/>
    <w:rsid w:val="009B0B8B"/>
    <w:rsid w:val="009B6775"/>
    <w:rsid w:val="009C7162"/>
    <w:rsid w:val="009C7D5F"/>
    <w:rsid w:val="009D5849"/>
    <w:rsid w:val="009D5BF1"/>
    <w:rsid w:val="00A072C3"/>
    <w:rsid w:val="00A37737"/>
    <w:rsid w:val="00A72FFE"/>
    <w:rsid w:val="00A822CB"/>
    <w:rsid w:val="00AC00C4"/>
    <w:rsid w:val="00AE2036"/>
    <w:rsid w:val="00B54C9D"/>
    <w:rsid w:val="00BF43FB"/>
    <w:rsid w:val="00C162CB"/>
    <w:rsid w:val="00C23E72"/>
    <w:rsid w:val="00C3528C"/>
    <w:rsid w:val="00C67907"/>
    <w:rsid w:val="00CD585A"/>
    <w:rsid w:val="00CF04B5"/>
    <w:rsid w:val="00CF10FF"/>
    <w:rsid w:val="00D10B08"/>
    <w:rsid w:val="00D21D65"/>
    <w:rsid w:val="00D25D14"/>
    <w:rsid w:val="00D63524"/>
    <w:rsid w:val="00D64EAE"/>
    <w:rsid w:val="00D80985"/>
    <w:rsid w:val="00DB4B4D"/>
    <w:rsid w:val="00DF773D"/>
    <w:rsid w:val="00E10BC4"/>
    <w:rsid w:val="00E715EB"/>
    <w:rsid w:val="00EB492A"/>
    <w:rsid w:val="00F54B93"/>
    <w:rsid w:val="00F71BF0"/>
    <w:rsid w:val="00F819DF"/>
    <w:rsid w:val="00FB226B"/>
    <w:rsid w:val="00FC331B"/>
    <w:rsid w:val="00FD26AC"/>
    <w:rsid w:val="00FE46ED"/>
    <w:rsid w:val="00FE77CA"/>
    <w:rsid w:val="65D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5ED4"/>
  <w15:docId w15:val="{9E41D373-D833-4017-BB7B-39EADA5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widowControl/>
      <w:numPr>
        <w:numId w:val="1"/>
      </w:numPr>
      <w:spacing w:before="180" w:line="288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overflowPunct/>
      <w:autoSpaceDE/>
      <w:autoSpaceDN/>
      <w:adjustRightInd/>
      <w:spacing w:before="180" w:line="288" w:lineRule="auto"/>
      <w:jc w:val="both"/>
      <w:textAlignment w:val="auto"/>
      <w:outlineLvl w:val="1"/>
    </w:pPr>
    <w:rPr>
      <w:rFonts w:cs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widowControl/>
      <w:overflowPunct/>
      <w:autoSpaceDE/>
      <w:autoSpaceDN/>
      <w:adjustRightInd/>
      <w:spacing w:before="60" w:after="60"/>
      <w:jc w:val="both"/>
      <w:textAlignment w:val="auto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20" w:line="288" w:lineRule="auto"/>
    </w:pPr>
    <w:rPr>
      <w:rFonts w:cs="Arial"/>
    </w:rPr>
  </w:style>
  <w:style w:type="paragraph" w:styleId="BodyTextIndent">
    <w:name w:val="Body Text Indent"/>
    <w:basedOn w:val="Normal"/>
    <w:qFormat/>
    <w:pPr>
      <w:widowControl/>
      <w:tabs>
        <w:tab w:val="left" w:pos="720"/>
      </w:tabs>
      <w:ind w:left="720" w:hanging="360"/>
    </w:pPr>
    <w:rPr>
      <w:rFonts w:cs="Arial"/>
      <w:sz w:val="24"/>
    </w:rPr>
  </w:style>
  <w:style w:type="paragraph" w:styleId="Footer">
    <w:name w:val="footer"/>
    <w:basedOn w:val="Normal"/>
    <w:link w:val="FooterChar"/>
    <w:uiPriority w:val="99"/>
    <w:qFormat/>
    <w:pPr>
      <w:widowControl/>
      <w:tabs>
        <w:tab w:val="center" w:pos="4320"/>
        <w:tab w:val="right" w:pos="8640"/>
      </w:tabs>
    </w:pPr>
    <w:rPr>
      <w:rFonts w:ascii="Times New Roman" w:hAnsi="Times New Roman"/>
      <w:sz w:val="16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39"/>
    <w:qFormat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pPr>
      <w:widowControl/>
      <w:numPr>
        <w:numId w:val="2"/>
      </w:numPr>
      <w:spacing w:after="240"/>
    </w:pPr>
  </w:style>
  <w:style w:type="paragraph" w:customStyle="1" w:styleId="ListBullet">
    <w:name w:val="ListBullet"/>
    <w:basedOn w:val="BodyText"/>
    <w:qFormat/>
    <w:pPr>
      <w:numPr>
        <w:numId w:val="3"/>
      </w:numPr>
      <w:tabs>
        <w:tab w:val="clear" w:pos="720"/>
        <w:tab w:val="left" w:pos="709"/>
      </w:tabs>
      <w:ind w:left="709" w:hanging="567"/>
    </w:pPr>
  </w:style>
  <w:style w:type="paragraph" w:customStyle="1" w:styleId="ListBullet2">
    <w:name w:val="ListBullet2"/>
    <w:basedOn w:val="ListBullet"/>
    <w:qFormat/>
    <w:pPr>
      <w:numPr>
        <w:numId w:val="4"/>
      </w:numPr>
      <w:tabs>
        <w:tab w:val="left" w:pos="1134"/>
      </w:tabs>
      <w:spacing w:before="60"/>
      <w:ind w:left="1134" w:hanging="425"/>
    </w:pPr>
  </w:style>
  <w:style w:type="paragraph" w:customStyle="1" w:styleId="Heading2NotBold">
    <w:name w:val="Heading 2 NotBold"/>
    <w:basedOn w:val="Heading2"/>
    <w:qFormat/>
    <w:pPr>
      <w:keepNext w:val="0"/>
      <w:keepLines w:val="0"/>
      <w:widowControl w:val="0"/>
      <w:numPr>
        <w:ilvl w:val="2"/>
      </w:numPr>
    </w:pPr>
    <w:rPr>
      <w:b w:val="0"/>
      <w:bCs/>
    </w:rPr>
  </w:style>
  <w:style w:type="character" w:customStyle="1" w:styleId="HeaderChar">
    <w:name w:val="Header Char"/>
    <w:link w:val="Header"/>
    <w:qFormat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qFormat/>
    <w:rPr>
      <w:sz w:val="16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CenturyGothic">
    <w:name w:val="Paragraph Century Gothic"/>
    <w:basedOn w:val="Normal"/>
    <w:qFormat/>
    <w:pPr>
      <w:widowControl/>
      <w:overflowPunct/>
      <w:autoSpaceDE/>
      <w:autoSpaceDN/>
      <w:adjustRightInd/>
      <w:spacing w:before="120" w:line="280" w:lineRule="exact"/>
      <w:textAlignment w:val="auto"/>
    </w:pPr>
    <w:rPr>
      <w:rFonts w:ascii="Century Gothic" w:hAnsi="Century Gothic"/>
      <w:sz w:val="20"/>
    </w:rPr>
  </w:style>
  <w:style w:type="paragraph" w:customStyle="1" w:styleId="Style2">
    <w:name w:val="Style2"/>
    <w:basedOn w:val="Normal"/>
    <w:qFormat/>
    <w:pPr>
      <w:tabs>
        <w:tab w:val="left" w:pos="1418"/>
      </w:tabs>
      <w:spacing w:after="120"/>
      <w:ind w:left="1418" w:hanging="709"/>
      <w:jc w:val="both"/>
    </w:pPr>
  </w:style>
  <w:style w:type="paragraph" w:customStyle="1" w:styleId="Style3a">
    <w:name w:val="Style3a"/>
    <w:basedOn w:val="Style311"/>
    <w:qFormat/>
    <w:pPr>
      <w:tabs>
        <w:tab w:val="left" w:pos="360"/>
      </w:tabs>
    </w:pPr>
  </w:style>
  <w:style w:type="paragraph" w:customStyle="1" w:styleId="Style311">
    <w:name w:val="Style3.1.1"/>
    <w:basedOn w:val="Normal"/>
    <w:qFormat/>
    <w:pPr>
      <w:widowControl/>
      <w:tabs>
        <w:tab w:val="left" w:pos="2126"/>
      </w:tabs>
      <w:spacing w:after="120"/>
      <w:ind w:left="2126" w:hanging="708"/>
      <w:jc w:val="both"/>
    </w:pPr>
    <w:rPr>
      <w:rFonts w:cs="Arial"/>
      <w:bCs/>
    </w:rPr>
  </w:style>
  <w:style w:type="paragraph" w:customStyle="1" w:styleId="Style4">
    <w:name w:val="Style4"/>
    <w:basedOn w:val="Normal"/>
    <w:qFormat/>
    <w:pPr>
      <w:tabs>
        <w:tab w:val="left" w:pos="2835"/>
      </w:tabs>
      <w:spacing w:after="120"/>
      <w:ind w:left="2835" w:hanging="709"/>
      <w:jc w:val="both"/>
    </w:pPr>
  </w:style>
  <w:style w:type="paragraph" w:customStyle="1" w:styleId="Style2a">
    <w:name w:val="Style2a"/>
    <w:basedOn w:val="Normal"/>
    <w:qFormat/>
    <w:pPr>
      <w:tabs>
        <w:tab w:val="left" w:pos="2880"/>
      </w:tabs>
      <w:overflowPunct/>
      <w:autoSpaceDE/>
      <w:autoSpaceDN/>
      <w:adjustRightInd/>
      <w:textAlignment w:val="auto"/>
    </w:pPr>
    <w:rPr>
      <w:rFonts w:ascii="Calibri" w:eastAsia="Calibri" w:hAnsi="Calibri"/>
      <w:szCs w:val="22"/>
      <w:lang w:val="en-US"/>
    </w:rPr>
  </w:style>
  <w:style w:type="paragraph" w:customStyle="1" w:styleId="Style4a">
    <w:name w:val="Style4a"/>
    <w:basedOn w:val="Style3a"/>
    <w:qFormat/>
    <w:pPr>
      <w:ind w:left="2835" w:hanging="709"/>
    </w:pPr>
  </w:style>
  <w:style w:type="table" w:customStyle="1" w:styleId="GridTable1Light-Accent11">
    <w:name w:val="Grid Table 1 Light - Accent 11"/>
    <w:basedOn w:val="TableNormal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arvelloussecurityservices.co.uk/wp-content/uploads/2022/09/Web-Logo-MSSL-blac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Policy</dc:title>
  <dc:creator>abid iqbal</dc:creator>
  <cp:lastModifiedBy>Marvellous Security Services</cp:lastModifiedBy>
  <cp:revision>24</cp:revision>
  <cp:lastPrinted>2004-05-11T12:06:00Z</cp:lastPrinted>
  <dcterms:created xsi:type="dcterms:W3CDTF">2020-12-28T16:29:00Z</dcterms:created>
  <dcterms:modified xsi:type="dcterms:W3CDTF">2023-10-31T11:59:00Z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